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184429" w:rsidRPr="00184429" w14:paraId="3DA522AC" w14:textId="77777777" w:rsidTr="00582B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56CE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E091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184429" w:rsidRPr="00184429" w14:paraId="002088FB" w14:textId="77777777" w:rsidTr="00582B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EE0A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A908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18442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C61CBB" w:rsidRPr="00184429" w14:paraId="20F3D603" w14:textId="77777777" w:rsidTr="00582B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ACF8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913F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71463D1D" w14:textId="6AB60483" w:rsidR="00C61CBB" w:rsidRPr="00184429" w:rsidRDefault="00C61CBB" w:rsidP="00C61CBB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184429" w:rsidRPr="00184429" w14:paraId="5FD5080B" w14:textId="77777777" w:rsidTr="00582BD1">
        <w:tc>
          <w:tcPr>
            <w:tcW w:w="0" w:type="auto"/>
          </w:tcPr>
          <w:p w14:paraId="2EA366FD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DB2CFA7" w14:textId="77777777" w:rsidR="00C61CBB" w:rsidRPr="00184429" w:rsidRDefault="00C61CBB" w:rsidP="00582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184429" w:rsidRPr="00184429" w14:paraId="2E11A2D7" w14:textId="77777777" w:rsidTr="00582BD1">
        <w:tc>
          <w:tcPr>
            <w:tcW w:w="0" w:type="auto"/>
          </w:tcPr>
          <w:p w14:paraId="0AA267B0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184429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3708EAD" w14:textId="77777777" w:rsidR="00C61CBB" w:rsidRPr="00184429" w:rsidRDefault="00C61CBB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2F93CDD3" w14:textId="77777777" w:rsidR="00565F69" w:rsidRPr="00184429" w:rsidRDefault="00565F69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04046219" w14:textId="7B8820B2" w:rsidR="00565F69" w:rsidRPr="00184429" w:rsidRDefault="004423EC" w:rsidP="00FD3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</w:rPr>
              <w:t>INSCRIPCIÓ</w:t>
            </w:r>
            <w:r w:rsidR="00565F69" w:rsidRPr="00184429">
              <w:rPr>
                <w:rFonts w:ascii="Arial" w:eastAsia="Times New Roman" w:hAnsi="Arial" w:cs="Arial"/>
                <w:b/>
                <w:color w:val="404040" w:themeColor="text1" w:themeTint="BF"/>
              </w:rPr>
              <w:t>N DE LOTES PARA LA PRODUCCION DE SEMILLA</w:t>
            </w:r>
          </w:p>
          <w:p w14:paraId="6336261F" w14:textId="25DA61D1" w:rsidR="00C61CBB" w:rsidRDefault="00C61CBB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098A6759" w14:textId="1EE36F16" w:rsidR="00CD1C5F" w:rsidRPr="00455CDB" w:rsidRDefault="004423EC" w:rsidP="00CD1C5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CD1C5F" w:rsidRPr="00455CDB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529EB84F" w14:textId="1C00BBED" w:rsidR="00CD1C5F" w:rsidRPr="00184429" w:rsidRDefault="00CD1C5F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184429" w:rsidRPr="00184429" w14:paraId="308DE2AB" w14:textId="77777777" w:rsidTr="00582BD1">
        <w:tc>
          <w:tcPr>
            <w:tcW w:w="0" w:type="auto"/>
          </w:tcPr>
          <w:p w14:paraId="75A0DA69" w14:textId="77777777" w:rsidR="00C61CBB" w:rsidRPr="00184429" w:rsidRDefault="00C61CBB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6291939" w14:textId="77777777" w:rsidR="00C7736A" w:rsidRPr="00184429" w:rsidRDefault="00C7736A" w:rsidP="00C7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46CED5CB" w14:textId="77777777" w:rsidR="00C7736A" w:rsidRPr="00184429" w:rsidRDefault="00C7736A" w:rsidP="00C7736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07ECAAC9" w14:textId="77777777" w:rsidR="00C7736A" w:rsidRPr="00184429" w:rsidRDefault="00C7736A" w:rsidP="00C7736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36242D88" w14:textId="0C4ACF61" w:rsidR="00C61CBB" w:rsidRPr="00184429" w:rsidRDefault="00C7736A" w:rsidP="00FD303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13A4B3AE" w14:textId="4B2DC67B" w:rsidR="00FD3036" w:rsidRPr="00184429" w:rsidRDefault="00FD3036" w:rsidP="00C7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184429" w:rsidRPr="00184429" w14:paraId="6B61E364" w14:textId="77777777" w:rsidTr="00582BD1">
        <w:tc>
          <w:tcPr>
            <w:tcW w:w="0" w:type="auto"/>
          </w:tcPr>
          <w:p w14:paraId="621C2AEE" w14:textId="4AA5C472" w:rsidR="00C61CBB" w:rsidRPr="00184429" w:rsidRDefault="00417DD0" w:rsidP="00582BD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DA7DA01" w14:textId="77777777" w:rsidR="00C61CBB" w:rsidRPr="00184429" w:rsidRDefault="00C61CBB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844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3567599" w14:textId="77777777" w:rsidR="00C61CBB" w:rsidRPr="00184429" w:rsidRDefault="00C61CBB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4111"/>
            </w:tblGrid>
            <w:tr w:rsidR="00EB1BC2" w:rsidRPr="00184429" w14:paraId="306FCC38" w14:textId="77777777" w:rsidTr="00245E15"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2F2F" w14:textId="77777777" w:rsidR="00EB1BC2" w:rsidRPr="002A6C55" w:rsidRDefault="00EB1BC2" w:rsidP="00EB1BC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66283A8D" w14:textId="77777777" w:rsidR="00EB1BC2" w:rsidRPr="00184429" w:rsidRDefault="00EB1BC2" w:rsidP="00EB1BC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0F89" w14:textId="73E9C2EC" w:rsidR="00EB1BC2" w:rsidRPr="00184429" w:rsidRDefault="00EB1BC2" w:rsidP="00EB1BC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184429" w:rsidRPr="00184429" w14:paraId="2E0C1D4F" w14:textId="77777777" w:rsidTr="00245E15"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A44D4" w14:textId="77777777" w:rsidR="00C61CBB" w:rsidRPr="00184429" w:rsidRDefault="00C61CBB" w:rsidP="00FD3036">
                  <w:pPr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</w:rPr>
                  </w:pPr>
                  <w:r w:rsidRPr="00184429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Requisitos: </w:t>
                  </w:r>
                </w:p>
                <w:p w14:paraId="5B2F539A" w14:textId="56D40702" w:rsidR="00C61CBB" w:rsidRPr="00245E15" w:rsidRDefault="00C61CBB" w:rsidP="00D673A7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llenado, firmado y sellado. (en original)</w:t>
                  </w:r>
                </w:p>
                <w:p w14:paraId="41A72BF0" w14:textId="77777777" w:rsidR="0092327F" w:rsidRPr="00245E15" w:rsidRDefault="0092327F" w:rsidP="00D673A7">
                  <w:pPr>
                    <w:ind w:left="608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Obligatorio que cumpla todos los ítems con la información correcta. </w:t>
                  </w:r>
                </w:p>
                <w:p w14:paraId="454D6CBB" w14:textId="77777777" w:rsidR="0092327F" w:rsidRPr="00245E15" w:rsidRDefault="0092327F" w:rsidP="0092327F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65113E8" w14:textId="77777777" w:rsidR="0092327F" w:rsidRPr="00245E15" w:rsidRDefault="005564CC" w:rsidP="00D673A7">
                  <w:pPr>
                    <w:ind w:left="608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la semilla que se va a inscribir para Registro de Unidades de Producción de Semillas Certificadas </w:t>
                  </w:r>
                  <w:r w:rsidR="0092327F"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es importada </w:t>
                  </w: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 requiere:</w:t>
                  </w:r>
                </w:p>
                <w:p w14:paraId="2F757A2F" w14:textId="77777777" w:rsidR="00C61CBB" w:rsidRPr="00245E15" w:rsidRDefault="00C61CBB" w:rsidP="00D673A7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</w:t>
                  </w:r>
                  <w:r w:rsidR="0092327F"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del Certificado Fitosanitario.</w:t>
                  </w:r>
                </w:p>
                <w:p w14:paraId="48DD1AD1" w14:textId="77777777" w:rsidR="00C61CBB" w:rsidRPr="00245E15" w:rsidRDefault="00C61CBB" w:rsidP="00D673A7">
                  <w:pPr>
                    <w:numPr>
                      <w:ilvl w:val="0"/>
                      <w:numId w:val="6"/>
                    </w:numPr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</w:t>
                  </w:r>
                  <w:r w:rsidR="0092327F"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Factura Comercial</w:t>
                  </w:r>
                </w:p>
                <w:p w14:paraId="655A912D" w14:textId="77777777" w:rsidR="0092327F" w:rsidRPr="00245E15" w:rsidRDefault="0092327F" w:rsidP="0092327F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E804F9A" w14:textId="77777777" w:rsidR="0092327F" w:rsidRPr="00245E15" w:rsidRDefault="0092327F" w:rsidP="00D673A7">
                  <w:pPr>
                    <w:ind w:left="608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la semilla que se va a inscribir para Registro de Unidades de Producción de Semillas Certificadas es nacional se requiere:</w:t>
                  </w:r>
                </w:p>
                <w:p w14:paraId="2AAACE5D" w14:textId="77777777" w:rsidR="003236B3" w:rsidRPr="00245E15" w:rsidRDefault="0092327F" w:rsidP="00D673A7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608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de Factura Comercial (si la semilla es </w:t>
                  </w: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comprada a otro productor nacional inscrito previamente)</w:t>
                  </w:r>
                </w:p>
                <w:p w14:paraId="3A380B2D" w14:textId="77777777" w:rsidR="003236B3" w:rsidRPr="00245E15" w:rsidRDefault="003236B3" w:rsidP="00D673A7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608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Indicar a que inscripción de lote previo pertenece la semilla a inscribir.</w:t>
                  </w:r>
                </w:p>
                <w:p w14:paraId="13119697" w14:textId="77777777" w:rsidR="0092327F" w:rsidRPr="00245E15" w:rsidRDefault="0092327F" w:rsidP="0092327F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4CADF25" w14:textId="61B5D0F3" w:rsidR="00C61CBB" w:rsidRDefault="00C61CBB" w:rsidP="00D673A7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Recibo de pago del valor de la </w:t>
                  </w:r>
                  <w:r w:rsidR="003236B3"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Inscripción de unidades de producción</w:t>
                  </w: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emitido por BANRURAL.</w:t>
                  </w:r>
                </w:p>
                <w:p w14:paraId="06B3E9C7" w14:textId="77777777" w:rsidR="00245E15" w:rsidRDefault="00245E15" w:rsidP="00245E15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71DF730" w14:textId="6B2B978B" w:rsidR="00245E15" w:rsidRPr="00245E15" w:rsidRDefault="00245E15" w:rsidP="00D673A7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608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Carta de autorización del uso de semilla certificada por parte de la empresa dueña de la semilla, cuando proceda.</w:t>
                  </w:r>
                </w:p>
                <w:p w14:paraId="15DF6270" w14:textId="77777777" w:rsidR="00C61CBB" w:rsidRPr="00184429" w:rsidRDefault="00C61CBB" w:rsidP="00582BD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1E92" w14:textId="77777777" w:rsidR="001B39F2" w:rsidRPr="00184429" w:rsidRDefault="001B39F2" w:rsidP="001B39F2">
                  <w:pPr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</w:rPr>
                  </w:pPr>
                  <w:r w:rsidRPr="00184429">
                    <w:rPr>
                      <w:rFonts w:ascii="Arial" w:hAnsi="Arial" w:cs="Arial"/>
                      <w:b/>
                      <w:color w:val="404040" w:themeColor="text1" w:themeTint="BF"/>
                    </w:rPr>
                    <w:lastRenderedPageBreak/>
                    <w:t xml:space="preserve">Requisitos: </w:t>
                  </w:r>
                </w:p>
                <w:p w14:paraId="63AB434F" w14:textId="67C3F4B7" w:rsidR="003236B3" w:rsidRPr="00245E15" w:rsidRDefault="003236B3" w:rsidP="00D673A7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la semilla que se va a inscribir para Registro de Unidades de Producción de Semillas Certificadas es importada se requiere:</w:t>
                  </w:r>
                </w:p>
                <w:p w14:paraId="3C42157A" w14:textId="047BE605" w:rsidR="003236B3" w:rsidRPr="00245E15" w:rsidRDefault="003236B3" w:rsidP="00D673A7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del Certificado Fitosanitario.</w:t>
                  </w:r>
                </w:p>
                <w:p w14:paraId="4E3EB2C0" w14:textId="77777777" w:rsidR="003236B3" w:rsidRPr="00245E15" w:rsidRDefault="003236B3" w:rsidP="00D673A7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Factura Comercial</w:t>
                  </w:r>
                </w:p>
                <w:p w14:paraId="565C49E3" w14:textId="77777777" w:rsidR="003236B3" w:rsidRPr="00245E15" w:rsidRDefault="003236B3" w:rsidP="003236B3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D8B7703" w14:textId="6876AEAB" w:rsidR="003236B3" w:rsidRPr="00245E15" w:rsidRDefault="003236B3" w:rsidP="00D673A7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la semilla que se va a inscribir para Registro de Unidades de Producción de Semillas Certificadas es nacional se requiere:</w:t>
                  </w:r>
                </w:p>
                <w:p w14:paraId="681EE45C" w14:textId="77777777" w:rsidR="003236B3" w:rsidRPr="00245E15" w:rsidRDefault="003236B3" w:rsidP="00D673A7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Factura Comercial (si la semilla es comprada a otro productor nacional inscrito previamente)</w:t>
                  </w:r>
                </w:p>
                <w:p w14:paraId="1412056D" w14:textId="77777777" w:rsidR="003236B3" w:rsidRPr="00245E15" w:rsidRDefault="003236B3" w:rsidP="00D673A7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Indicar a que inscripción de lote previo pertenece la semilla a inscribir.</w:t>
                  </w:r>
                </w:p>
                <w:p w14:paraId="1266E89D" w14:textId="77777777" w:rsidR="003236B3" w:rsidRPr="00245E15" w:rsidRDefault="003236B3" w:rsidP="003236B3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CE746B9" w14:textId="218E0F2D" w:rsidR="00586A1E" w:rsidRPr="00245E15" w:rsidRDefault="00245E15" w:rsidP="00401A6D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Boleta de P</w:t>
                  </w:r>
                  <w:r w:rsidR="003236B3" w:rsidRPr="00245E1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ago</w:t>
                  </w:r>
                </w:p>
                <w:p w14:paraId="08187C07" w14:textId="77777777" w:rsidR="00245E15" w:rsidRDefault="00245E15" w:rsidP="00245E15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394966A" w14:textId="77777777" w:rsidR="00586A1E" w:rsidRDefault="00586A1E" w:rsidP="00D673A7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Carta de autorización del uso de semilla certificada por parte de la empresa dueña de la semilla, cuando proceda.</w:t>
                  </w:r>
                </w:p>
                <w:p w14:paraId="365B2A77" w14:textId="77777777" w:rsidR="00586A1E" w:rsidRDefault="00586A1E" w:rsidP="00586A1E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C1F0B94" w14:textId="71B18DAA" w:rsidR="00586A1E" w:rsidRPr="00184429" w:rsidRDefault="00586A1E" w:rsidP="00586A1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84429" w:rsidRPr="00184429" w14:paraId="2571E42A" w14:textId="77777777" w:rsidTr="00245E15"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15"/>
                  </w:tblGrid>
                  <w:tr w:rsidR="0026161D" w:rsidRPr="00184429" w14:paraId="194A0D4D" w14:textId="77777777" w:rsidTr="0026161D">
                    <w:trPr>
                      <w:trHeight w:val="543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8FF02B" w14:textId="77777777" w:rsidR="0026161D" w:rsidRPr="002A6C55" w:rsidRDefault="0026161D" w:rsidP="0026161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>Diseño Actual</w:t>
                        </w:r>
                      </w:p>
                      <w:p w14:paraId="0DA54B65" w14:textId="77777777" w:rsidR="0026161D" w:rsidRPr="0026161D" w:rsidRDefault="0026161D" w:rsidP="0026161D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</w:pPr>
                      </w:p>
                    </w:tc>
                  </w:tr>
                  <w:tr w:rsidR="00184429" w:rsidRPr="00184429" w14:paraId="3EA66211" w14:textId="77777777" w:rsidTr="00582BD1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CD32CC" w14:textId="23F470F1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1.</w:t>
                        </w:r>
                        <w:r w:rsidR="003236B3" w:rsidRPr="00245E15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El Usuario Solicitante obtiene 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ES"/>
                          </w:rPr>
                          <w:t xml:space="preserve">Formulario de </w:t>
                        </w:r>
                        <w:r w:rsidR="004F2B3F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ES"/>
                          </w:rPr>
                          <w:t xml:space="preserve">solicitud de inscripción de lotes para la producción de semilla </w:t>
                        </w:r>
                        <w:r w:rsidR="003236B3" w:rsidRPr="00245E15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DFRN-01-R-006</w:t>
                        </w:r>
                        <w:r w:rsidR="003236B3" w:rsidRPr="00245E15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,</w:t>
                        </w:r>
                        <w:r w:rsidR="003236B3" w:rsidRPr="00245E15">
                          <w:rPr>
                            <w:rFonts w:ascii="Arial" w:eastAsia="Cambria" w:hAnsi="Arial" w:cs="Arial"/>
                            <w:b/>
                            <w:iCs/>
                            <w:color w:val="404040" w:themeColor="text1" w:themeTint="BF"/>
                            <w:lang w:val="es-ES_tradnl"/>
                          </w:rPr>
                          <w:t xml:space="preserve"> </w:t>
                        </w:r>
                        <w:r w:rsidR="003236B3" w:rsidRPr="00245E15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a través del portal digital </w:t>
                        </w:r>
                        <w:r w:rsidR="003236B3" w:rsidRPr="00245E1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lang w:val="es-ES_tradnl"/>
                          </w:rPr>
                          <w:t>https://visar.maga.gob.gt/</w:t>
                        </w:r>
                        <w:r w:rsidR="003236B3" w:rsidRPr="00245E15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o lo solicita al Profesional Analista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del Departamento de Registro de Campos Semilleristas</w:t>
                        </w:r>
                        <w:r w:rsidR="003236B3" w:rsidRPr="00245E15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58228071" w14:textId="77777777" w:rsidR="003236B3" w:rsidRPr="00184429" w:rsidRDefault="003236B3" w:rsidP="003236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84429" w:rsidRPr="00184429" w14:paraId="10740C30" w14:textId="77777777" w:rsidTr="00582BD1">
                    <w:trPr>
                      <w:trHeight w:val="1110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0CF90D" w14:textId="4E779641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2.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Usuario ingresa el expediente a través de la ventanilla del primer nivel del edificio de </w:t>
                        </w:r>
                        <w:r w:rsidR="00AA3580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atención al usuario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 El personal de ventanilla entrega al Profesional Analista del Departamento de Registro de Campos Semilleristas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  <w:u w:val="words"/>
                          </w:rPr>
                          <w:t xml:space="preserve"> 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expediente para iniciar el proceso de análisis. </w:t>
                        </w:r>
                      </w:p>
                      <w:p w14:paraId="5CBB1727" w14:textId="77777777" w:rsidR="003236B3" w:rsidRPr="00184429" w:rsidRDefault="003236B3" w:rsidP="003236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84429" w:rsidRPr="00184429" w14:paraId="7004B0A5" w14:textId="77777777" w:rsidTr="00582BD1">
                    <w:trPr>
                      <w:trHeight w:val="1230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0438D2" w14:textId="56266D29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3.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 recibe y verifica la información del formulario con su expediente adjunto.</w:t>
                        </w:r>
                      </w:p>
                    </w:tc>
                  </w:tr>
                  <w:tr w:rsidR="00184429" w:rsidRPr="00184429" w14:paraId="0F5377D6" w14:textId="77777777" w:rsidTr="00582BD1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F99A68" w14:textId="2CC608CE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4.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Si al analizar el formulario y expediente adjunto falta algún dato o documento, el Profesional Analista del Departamento de 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Registro de Campos Semilleristas devuelve el expediente con Boleta de Rechazo de Documentos DFRN-01-R-020.</w:t>
                        </w:r>
                      </w:p>
                      <w:p w14:paraId="48A57A59" w14:textId="77777777" w:rsidR="003236B3" w:rsidRPr="00184429" w:rsidRDefault="003236B3" w:rsidP="003236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84429" w:rsidRPr="00184429" w14:paraId="25AD2FB3" w14:textId="77777777" w:rsidTr="00582BD1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28F582" w14:textId="64931B21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5.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analiza y verifica la información del formulario con su expediente sí esta correcta la </w:t>
                        </w:r>
                        <w:r w:rsidR="00184429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información elabora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3236B3" w:rsidRPr="00245E15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procede a 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inscribir en el registro la unidad de producción de semillas certificadas con un número correlativo en el Libro de Registro de Unidades de Producción de Semillas Certificadas DFRN-01-D-001</w:t>
                        </w:r>
                        <w:r w:rsidR="003236B3" w:rsidRPr="00245E15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lang w:val="es-ES_tradnl" w:eastAsia="ar-SA"/>
                          </w:rPr>
                          <w:t xml:space="preserve"> 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(</w:t>
                        </w:r>
                        <w:r w:rsidR="003236B3" w:rsidRPr="00245E15">
                          <w:rPr>
                            <w:rFonts w:ascii="Arial" w:hAnsi="Arial" w:cs="Arial"/>
                            <w:i/>
                            <w:color w:val="404040" w:themeColor="text1" w:themeTint="BF"/>
                            <w:lang w:val="es-ES_tradnl" w:eastAsia="ar-SA"/>
                          </w:rPr>
                          <w:t>Lotes de Producción de Semilla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) y lo archiva.</w:t>
                        </w:r>
                      </w:p>
                      <w:p w14:paraId="0E5F2883" w14:textId="77777777" w:rsidR="003236B3" w:rsidRPr="00184429" w:rsidRDefault="003236B3" w:rsidP="003236B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52E4AAED" wp14:editId="297E276E">
                                  <wp:simplePos x="0" y="0"/>
                                  <wp:positionH relativeFrom="column">
                                    <wp:posOffset>-73026</wp:posOffset>
                                  </wp:positionH>
                                  <wp:positionV relativeFrom="paragraph">
                                    <wp:posOffset>73025</wp:posOffset>
                                  </wp:positionV>
                                  <wp:extent cx="2581275" cy="0"/>
                                  <wp:effectExtent l="0" t="0" r="28575" b="19050"/>
                                  <wp:wrapNone/>
                                  <wp:docPr id="6" name="Conector recto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5812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line w14:anchorId="124B696F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.75pt" to="19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73A1EA7A" w14:textId="71CB0AFF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7.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procede a introducir la información en el sistema Accees. </w:t>
                        </w:r>
                      </w:p>
                    </w:tc>
                  </w:tr>
                  <w:tr w:rsidR="00184429" w:rsidRPr="00184429" w14:paraId="7DE93FD5" w14:textId="77777777" w:rsidTr="00582BD1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0BB6BB" w14:textId="2494F831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8.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emite, imprime, firma y sella de visto bueno el documento que será entregado al usuario. </w:t>
                        </w:r>
                      </w:p>
                      <w:p w14:paraId="5C6DC919" w14:textId="77777777" w:rsidR="003236B3" w:rsidRPr="00184429" w:rsidRDefault="003236B3" w:rsidP="003236B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bCs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67BB7EED" wp14:editId="1F012D61">
                                  <wp:simplePos x="0" y="0"/>
                                  <wp:positionH relativeFrom="column">
                                    <wp:posOffset>-82549</wp:posOffset>
                                  </wp:positionH>
                                  <wp:positionV relativeFrom="paragraph">
                                    <wp:posOffset>24764</wp:posOffset>
                                  </wp:positionV>
                                  <wp:extent cx="2590800" cy="0"/>
                                  <wp:effectExtent l="0" t="0" r="19050" b="19050"/>
                                  <wp:wrapNone/>
                                  <wp:docPr id="7" name="Conector recto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25908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line w14:anchorId="32EA67FC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.95pt" to="197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7AC8A184" w14:textId="686ED471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9.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</w:t>
                        </w:r>
                        <w:r w:rsidR="001A7C94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Escanea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el documento inscrito para almacenar de forma digital. </w:t>
                        </w:r>
                      </w:p>
                    </w:tc>
                  </w:tr>
                  <w:tr w:rsidR="00184429" w:rsidRPr="00184429" w14:paraId="355B031E" w14:textId="77777777" w:rsidTr="00582BD1">
                    <w:trPr>
                      <w:trHeight w:val="2475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42CA62" w14:textId="74FFCF8B" w:rsidR="003236B3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10.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 entrega al personal de ventanilla de</w:t>
                        </w:r>
                        <w:r w:rsidR="00AA3580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atención al usuario la i</w:t>
                        </w:r>
                        <w:r w:rsidR="003236B3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nscripción de Registro de Unidades de Producción de Semillas Certificadas. Para ser entregada al Usuario en ventanilla.</w:t>
                        </w:r>
                      </w:p>
                    </w:tc>
                  </w:tr>
                </w:tbl>
                <w:p w14:paraId="7F9376ED" w14:textId="77777777" w:rsidR="00C61CBB" w:rsidRPr="00184429" w:rsidRDefault="00C61CBB" w:rsidP="00582BD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62"/>
                  </w:tblGrid>
                  <w:tr w:rsidR="0026161D" w:rsidRPr="00184429" w14:paraId="6C18AEBF" w14:textId="77777777" w:rsidTr="0026161D">
                    <w:trPr>
                      <w:trHeight w:val="543"/>
                    </w:trPr>
                    <w:tc>
                      <w:tcPr>
                        <w:tcW w:w="37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E1CA3F" w14:textId="7A2BE78E" w:rsidR="0026161D" w:rsidRPr="00184429" w:rsidRDefault="0026161D" w:rsidP="00EB1BC2">
                        <w:pPr>
                          <w:tabs>
                            <w:tab w:val="left" w:pos="6960"/>
                          </w:tabs>
                          <w:spacing w:line="256" w:lineRule="auto"/>
                          <w:contextualSpacing/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 xml:space="preserve">Diseño </w:t>
                        </w:r>
                        <w:r w:rsidR="00EB1BC2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P</w:t>
                        </w: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ropuesto</w:t>
                        </w:r>
                      </w:p>
                    </w:tc>
                  </w:tr>
                  <w:tr w:rsidR="00184429" w:rsidRPr="00184429" w14:paraId="34C4E580" w14:textId="77777777" w:rsidTr="00A81A8F">
                    <w:tc>
                      <w:tcPr>
                        <w:tcW w:w="37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07407C" w14:textId="48187C32" w:rsidR="00D500DD" w:rsidRPr="00245E15" w:rsidRDefault="00245E15" w:rsidP="00245E15">
                        <w:p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1.</w:t>
                        </w:r>
                        <w:r w:rsidR="00D500DD" w:rsidRPr="00245E1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="00D500DD" w:rsidRPr="00245E15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el sistema informático y carga document</w:t>
                        </w:r>
                        <w:r w:rsidR="00BA548A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os</w:t>
                        </w:r>
                        <w:r w:rsidR="00D500DD" w:rsidRPr="00245E15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requerid</w:t>
                        </w:r>
                        <w:r w:rsidR="00BA548A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os</w:t>
                        </w:r>
                        <w:r w:rsidR="00D500DD" w:rsidRPr="00245E15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. </w:t>
                        </w:r>
                      </w:p>
                      <w:p w14:paraId="50EC340E" w14:textId="5E2A623A" w:rsidR="00B16A5B" w:rsidRPr="00184429" w:rsidRDefault="00B16A5B" w:rsidP="002B36BA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38086EC" w14:textId="13AC37FA" w:rsidR="00D673A7" w:rsidRPr="00184429" w:rsidRDefault="00D673A7" w:rsidP="002B36BA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84429" w:rsidRPr="00184429" w14:paraId="3A71FF88" w14:textId="77777777" w:rsidTr="00A81A8F">
                    <w:tc>
                      <w:tcPr>
                        <w:tcW w:w="37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A9360" w14:textId="5E257076" w:rsidR="002B36BA" w:rsidRPr="00184429" w:rsidRDefault="00D673A7" w:rsidP="002B36B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2.</w:t>
                        </w:r>
                        <w:r w:rsidR="002B36BA"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El Profesional Analista recibe </w:t>
                        </w: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la solicitu</w:t>
                        </w:r>
                        <w:r w:rsidR="00A81A8F"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d</w:t>
                        </w: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2B36BA"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en bandeja y revisa.</w:t>
                        </w:r>
                      </w:p>
                      <w:p w14:paraId="11B4C729" w14:textId="77777777" w:rsidR="002B36BA" w:rsidRPr="00184429" w:rsidRDefault="002B36BA" w:rsidP="002B36B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Sí: Sigue paso 3. </w:t>
                        </w:r>
                      </w:p>
                      <w:p w14:paraId="5F4917FB" w14:textId="77777777" w:rsidR="002B36BA" w:rsidRPr="00184429" w:rsidRDefault="002B36BA" w:rsidP="002B36B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47487D00" w14:textId="77777777" w:rsidR="00582BD1" w:rsidRPr="00184429" w:rsidRDefault="005F50DE" w:rsidP="00582BD1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0B36AF91" wp14:editId="4BFA1289">
                                  <wp:simplePos x="0" y="0"/>
                                  <wp:positionH relativeFrom="column">
                                    <wp:posOffset>-69215</wp:posOffset>
                                  </wp:positionH>
                                  <wp:positionV relativeFrom="paragraph">
                                    <wp:posOffset>52070</wp:posOffset>
                                  </wp:positionV>
                                  <wp:extent cx="2409825" cy="9525"/>
                                  <wp:effectExtent l="0" t="0" r="28575" b="28575"/>
                                  <wp:wrapNone/>
                                  <wp:docPr id="8" name="Conector recto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409825" cy="952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line w14:anchorId="6E5FDEF5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4.1pt" to="18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4FEDEAC1" w14:textId="063793FD" w:rsidR="00586A1E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3.</w:t>
                        </w:r>
                        <w:r w:rsidR="00582BD1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</w:t>
                        </w:r>
                        <w:r w:rsidR="00586A1E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coordina y realiza la inspección.</w:t>
                        </w:r>
                      </w:p>
                      <w:p w14:paraId="55A962BD" w14:textId="790937E7" w:rsidR="00586A1E" w:rsidRPr="00184429" w:rsidRDefault="00586A1E" w:rsidP="00586A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Sí: Sigue paso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4</w:t>
                        </w: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. </w:t>
                        </w:r>
                      </w:p>
                      <w:p w14:paraId="5E3DCA65" w14:textId="325FF3DB" w:rsidR="00586A1E" w:rsidRPr="00184429" w:rsidRDefault="00586A1E" w:rsidP="00586A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Indica correcciones y repite paso 3.</w:t>
                        </w: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  <w:p w14:paraId="72FBA190" w14:textId="6AD30258" w:rsidR="00C61CBB" w:rsidRPr="00184429" w:rsidRDefault="00C61CBB" w:rsidP="00586A1E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86A1E" w:rsidRPr="00184429" w14:paraId="373D5C0F" w14:textId="77777777" w:rsidTr="00A81A8F">
                    <w:tc>
                      <w:tcPr>
                        <w:tcW w:w="37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B38D37" w14:textId="7AD5A33F" w:rsidR="00586A1E" w:rsidRPr="00245E15" w:rsidRDefault="00245E15" w:rsidP="00245E1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4.</w:t>
                        </w:r>
                        <w:r w:rsidR="00437372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genera, valida la insc</w:t>
                        </w:r>
                        <w:r w:rsidR="00BA548A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ripción de lotes y notifica al u</w:t>
                        </w:r>
                        <w:r w:rsidR="00437372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suario por medio del sistema </w:t>
                        </w:r>
                        <w:r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informático</w:t>
                        </w:r>
                        <w:r w:rsidR="00437372" w:rsidRPr="00245E1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</w:tc>
                  </w:tr>
                </w:tbl>
                <w:p w14:paraId="4225210E" w14:textId="77777777" w:rsidR="00C61CBB" w:rsidRPr="00184429" w:rsidRDefault="00C61CBB" w:rsidP="00582BD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1D4ADD13" w14:textId="5C6532B7" w:rsidR="00C61CBB" w:rsidRPr="00184429" w:rsidRDefault="00C61CBB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3083F8D7" w14:textId="64B64571" w:rsidR="00A81A8F" w:rsidRPr="00184429" w:rsidRDefault="00A81A8F" w:rsidP="00A81A8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245E1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días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245E1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 días</w:t>
            </w:r>
          </w:p>
          <w:p w14:paraId="51EE0EF8" w14:textId="7494C8E6" w:rsidR="00A81A8F" w:rsidRPr="00184429" w:rsidRDefault="00A81A8F" w:rsidP="00A81A8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2.50 (Q.20.00)   </w:t>
            </w: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2.50 (Q.20.00)</w:t>
            </w:r>
          </w:p>
          <w:p w14:paraId="34C12925" w14:textId="77777777" w:rsidR="00A81A8F" w:rsidRPr="00184429" w:rsidRDefault="00A81A8F" w:rsidP="00A81A8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1543D3D" w14:textId="77777777" w:rsidR="00A81A8F" w:rsidRPr="00184429" w:rsidRDefault="00A81A8F" w:rsidP="00A81A8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18442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1844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C0FF61F" w14:textId="2DAB0DA8" w:rsidR="00A81A8F" w:rsidRPr="00184429" w:rsidRDefault="00A81A8F" w:rsidP="00582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66AE184" w14:textId="77777777" w:rsidR="00C61CBB" w:rsidRPr="00184429" w:rsidRDefault="00C61CBB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184429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184429" w:rsidRPr="00184429" w14:paraId="533EC9F6" w14:textId="77777777" w:rsidTr="008A1389">
        <w:tc>
          <w:tcPr>
            <w:tcW w:w="2547" w:type="dxa"/>
            <w:shd w:val="clear" w:color="auto" w:fill="BDD6EE" w:themeFill="accent1" w:themeFillTint="66"/>
          </w:tcPr>
          <w:p w14:paraId="5D5A6708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02F9531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C7B593B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31B23F2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184429" w:rsidRPr="00184429" w14:paraId="756D0526" w14:textId="77777777" w:rsidTr="008A1389">
        <w:tc>
          <w:tcPr>
            <w:tcW w:w="2547" w:type="dxa"/>
          </w:tcPr>
          <w:p w14:paraId="2AD6D469" w14:textId="77777777" w:rsidR="00C61CBB" w:rsidRPr="00184429" w:rsidRDefault="00C61CBB" w:rsidP="00582BD1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0E9F8528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18C40E2D" w14:textId="77777777" w:rsidR="00C61CBB" w:rsidRPr="00184429" w:rsidRDefault="008A1389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34608221" w14:textId="34CFA66B" w:rsidR="00C61CBB" w:rsidRPr="00184429" w:rsidRDefault="00092B58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184429" w:rsidRPr="00184429" w14:paraId="53A46A34" w14:textId="77777777" w:rsidTr="008A1389">
        <w:tc>
          <w:tcPr>
            <w:tcW w:w="2547" w:type="dxa"/>
          </w:tcPr>
          <w:p w14:paraId="726B88D9" w14:textId="77777777" w:rsidR="00C61CBB" w:rsidRPr="00184429" w:rsidRDefault="00C61CBB" w:rsidP="00582BD1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226DEB63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DEC06DC" w14:textId="77777777" w:rsidR="00C61CBB" w:rsidRPr="00184429" w:rsidRDefault="008A1389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12D01438" w14:textId="5D11648E" w:rsidR="00C61CBB" w:rsidRPr="00184429" w:rsidRDefault="00092B58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184429" w:rsidRPr="00184429" w14:paraId="07615C76" w14:textId="77777777" w:rsidTr="008A1389">
        <w:tc>
          <w:tcPr>
            <w:tcW w:w="2547" w:type="dxa"/>
          </w:tcPr>
          <w:p w14:paraId="658B4021" w14:textId="77777777" w:rsidR="00C61CBB" w:rsidRPr="00184429" w:rsidRDefault="00C61CBB" w:rsidP="00582BD1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2A2819C4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F713DA2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165649FE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84429" w:rsidRPr="00184429" w14:paraId="37680B26" w14:textId="77777777" w:rsidTr="008A1389">
        <w:tc>
          <w:tcPr>
            <w:tcW w:w="2547" w:type="dxa"/>
          </w:tcPr>
          <w:p w14:paraId="3D24BD69" w14:textId="77777777" w:rsidR="00C61CBB" w:rsidRPr="00184429" w:rsidRDefault="00C61CBB" w:rsidP="00582BD1">
            <w:pPr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126" w:type="dxa"/>
          </w:tcPr>
          <w:p w14:paraId="458334DE" w14:textId="23A8B2A5" w:rsidR="00C61CBB" w:rsidRPr="00184429" w:rsidRDefault="00245E15" w:rsidP="00245E1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2410" w:type="dxa"/>
          </w:tcPr>
          <w:p w14:paraId="55900CAD" w14:textId="549AC55B" w:rsidR="00C61CBB" w:rsidRPr="00184429" w:rsidRDefault="00245E15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551" w:type="dxa"/>
          </w:tcPr>
          <w:p w14:paraId="1243357F" w14:textId="03233DB0" w:rsidR="00C61CBB" w:rsidRPr="00184429" w:rsidRDefault="00245E15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 días</w:t>
            </w:r>
          </w:p>
        </w:tc>
      </w:tr>
      <w:tr w:rsidR="00184429" w:rsidRPr="00184429" w14:paraId="7358D233" w14:textId="77777777" w:rsidTr="008A1389">
        <w:tc>
          <w:tcPr>
            <w:tcW w:w="2547" w:type="dxa"/>
          </w:tcPr>
          <w:p w14:paraId="2D808B9F" w14:textId="77777777" w:rsidR="00C61CBB" w:rsidRPr="00184429" w:rsidRDefault="00C61CBB" w:rsidP="00582BD1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37790BEF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9CB9A01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52DFEB75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84429" w:rsidRPr="00184429" w14:paraId="3B80B1A0" w14:textId="77777777" w:rsidTr="008A1389">
        <w:tc>
          <w:tcPr>
            <w:tcW w:w="2547" w:type="dxa"/>
          </w:tcPr>
          <w:p w14:paraId="3184E18B" w14:textId="77777777" w:rsidR="00C61CBB" w:rsidRPr="00184429" w:rsidRDefault="00C61CBB" w:rsidP="00582BD1">
            <w:pPr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126" w:type="dxa"/>
          </w:tcPr>
          <w:p w14:paraId="51CD6471" w14:textId="258D633F" w:rsidR="00C61CBB" w:rsidRPr="00184429" w:rsidRDefault="00E97AAD" w:rsidP="00245E1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45E15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184429">
              <w:rPr>
                <w:rFonts w:ascii="Arial" w:hAnsi="Arial" w:cs="Arial"/>
                <w:color w:val="404040" w:themeColor="text1" w:themeTint="BF"/>
              </w:rPr>
              <w:t>$2</w:t>
            </w:r>
            <w:r w:rsidR="008A1389" w:rsidRPr="00184429">
              <w:rPr>
                <w:rFonts w:ascii="Arial" w:hAnsi="Arial" w:cs="Arial"/>
                <w:color w:val="404040" w:themeColor="text1" w:themeTint="BF"/>
              </w:rPr>
              <w:t>.50</w:t>
            </w:r>
            <w:r w:rsidR="00245E15">
              <w:rPr>
                <w:rFonts w:ascii="Arial" w:hAnsi="Arial" w:cs="Arial"/>
                <w:color w:val="404040" w:themeColor="text1" w:themeTint="BF"/>
              </w:rPr>
              <w:t xml:space="preserve"> (Q.20.00)</w:t>
            </w: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 por hectárea </w:t>
            </w:r>
          </w:p>
        </w:tc>
        <w:tc>
          <w:tcPr>
            <w:tcW w:w="2410" w:type="dxa"/>
          </w:tcPr>
          <w:p w14:paraId="4F931FD0" w14:textId="5CD16292" w:rsidR="00C61CBB" w:rsidRPr="00184429" w:rsidRDefault="00BD3C53" w:rsidP="00245E1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45E15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184429">
              <w:rPr>
                <w:rFonts w:ascii="Arial" w:hAnsi="Arial" w:cs="Arial"/>
                <w:color w:val="404040" w:themeColor="text1" w:themeTint="BF"/>
              </w:rPr>
              <w:t>$</w:t>
            </w:r>
            <w:r w:rsidR="004F2B3F" w:rsidRPr="00184429">
              <w:rPr>
                <w:rFonts w:ascii="Arial" w:hAnsi="Arial" w:cs="Arial"/>
                <w:color w:val="404040" w:themeColor="text1" w:themeTint="BF"/>
              </w:rPr>
              <w:t>2.50</w:t>
            </w:r>
            <w:r w:rsidR="00245E15">
              <w:rPr>
                <w:rFonts w:ascii="Arial" w:hAnsi="Arial" w:cs="Arial"/>
                <w:color w:val="404040" w:themeColor="text1" w:themeTint="BF"/>
              </w:rPr>
              <w:t xml:space="preserve"> (Q.20.00) </w:t>
            </w:r>
            <w:r w:rsidR="00E97AAD" w:rsidRPr="00184429">
              <w:rPr>
                <w:rFonts w:ascii="Arial" w:hAnsi="Arial" w:cs="Arial"/>
                <w:color w:val="404040" w:themeColor="text1" w:themeTint="BF"/>
              </w:rPr>
              <w:t xml:space="preserve"> por hectárea</w:t>
            </w:r>
            <w:r w:rsidR="00245E15">
              <w:rPr>
                <w:rFonts w:ascii="Arial" w:hAnsi="Arial" w:cs="Arial"/>
                <w:color w:val="404040" w:themeColor="text1" w:themeTint="BF"/>
              </w:rPr>
              <w:t>, según tarifario vigente</w:t>
            </w:r>
          </w:p>
        </w:tc>
        <w:tc>
          <w:tcPr>
            <w:tcW w:w="2551" w:type="dxa"/>
          </w:tcPr>
          <w:p w14:paraId="5A384374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84429" w:rsidRPr="00184429" w14:paraId="2C4F401D" w14:textId="77777777" w:rsidTr="008A1389">
        <w:tc>
          <w:tcPr>
            <w:tcW w:w="2547" w:type="dxa"/>
          </w:tcPr>
          <w:p w14:paraId="532B23F6" w14:textId="77777777" w:rsidR="00C61CBB" w:rsidRPr="00184429" w:rsidRDefault="00C61CBB" w:rsidP="00582BD1">
            <w:pPr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126" w:type="dxa"/>
          </w:tcPr>
          <w:p w14:paraId="390F703B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0515570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6B476088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84429" w:rsidRPr="00184429" w14:paraId="0622B374" w14:textId="77777777" w:rsidTr="008A1389">
        <w:tc>
          <w:tcPr>
            <w:tcW w:w="2547" w:type="dxa"/>
          </w:tcPr>
          <w:p w14:paraId="775B5201" w14:textId="77777777" w:rsidR="00C61CBB" w:rsidRPr="00184429" w:rsidRDefault="00C61CBB" w:rsidP="00582BD1">
            <w:pPr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126" w:type="dxa"/>
          </w:tcPr>
          <w:p w14:paraId="0565D66B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2EDF89A2" w14:textId="77777777" w:rsidR="00C61CBB" w:rsidRPr="00184429" w:rsidRDefault="00E97AAD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551" w:type="dxa"/>
          </w:tcPr>
          <w:p w14:paraId="50AFDF9F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1CBB" w:rsidRPr="00184429" w14:paraId="554AE3E9" w14:textId="77777777" w:rsidTr="008A1389">
        <w:tc>
          <w:tcPr>
            <w:tcW w:w="2547" w:type="dxa"/>
          </w:tcPr>
          <w:p w14:paraId="7C4B10B3" w14:textId="77777777" w:rsidR="00C61CBB" w:rsidRPr="00184429" w:rsidRDefault="00C61CBB" w:rsidP="00582BD1">
            <w:pPr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126" w:type="dxa"/>
          </w:tcPr>
          <w:p w14:paraId="66CC9FA2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314E663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63D74A51" w14:textId="77777777" w:rsidR="00C61CBB" w:rsidRPr="00184429" w:rsidRDefault="00C61CBB" w:rsidP="00582B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844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5163D5C" w14:textId="19083603" w:rsidR="00C61CBB" w:rsidRDefault="00C61CBB">
      <w:pPr>
        <w:rPr>
          <w:color w:val="404040" w:themeColor="text1" w:themeTint="BF"/>
        </w:rPr>
      </w:pPr>
    </w:p>
    <w:p w14:paraId="6B0CC6E3" w14:textId="1D28FE4D" w:rsidR="001028D3" w:rsidRDefault="001028D3">
      <w:pPr>
        <w:rPr>
          <w:color w:val="404040" w:themeColor="text1" w:themeTint="BF"/>
        </w:rPr>
      </w:pPr>
    </w:p>
    <w:p w14:paraId="48B08219" w14:textId="4C1D2B03" w:rsidR="001028D3" w:rsidRDefault="001028D3">
      <w:pPr>
        <w:rPr>
          <w:color w:val="404040" w:themeColor="text1" w:themeTint="BF"/>
        </w:rPr>
      </w:pPr>
    </w:p>
    <w:p w14:paraId="1607EFD4" w14:textId="007160B0" w:rsidR="001028D3" w:rsidRDefault="001028D3">
      <w:pPr>
        <w:rPr>
          <w:color w:val="404040" w:themeColor="text1" w:themeTint="BF"/>
        </w:rPr>
      </w:pPr>
    </w:p>
    <w:p w14:paraId="43B0512A" w14:textId="7D773FD6" w:rsidR="001028D3" w:rsidRDefault="001028D3">
      <w:pPr>
        <w:rPr>
          <w:color w:val="404040" w:themeColor="text1" w:themeTint="BF"/>
        </w:rPr>
      </w:pPr>
    </w:p>
    <w:p w14:paraId="62D8FE75" w14:textId="5C27DAD0" w:rsidR="001028D3" w:rsidRDefault="001028D3">
      <w:pPr>
        <w:rPr>
          <w:color w:val="404040" w:themeColor="text1" w:themeTint="BF"/>
        </w:rPr>
      </w:pPr>
    </w:p>
    <w:p w14:paraId="000238D4" w14:textId="30274ACB" w:rsidR="001028D3" w:rsidRDefault="001028D3">
      <w:pPr>
        <w:rPr>
          <w:color w:val="404040" w:themeColor="text1" w:themeTint="BF"/>
        </w:rPr>
      </w:pPr>
    </w:p>
    <w:p w14:paraId="6E6D184C" w14:textId="35D621C8" w:rsidR="001028D3" w:rsidRDefault="001028D3">
      <w:pPr>
        <w:rPr>
          <w:color w:val="404040" w:themeColor="text1" w:themeTint="BF"/>
        </w:rPr>
      </w:pPr>
    </w:p>
    <w:p w14:paraId="72DAC7B3" w14:textId="6C6532CB" w:rsidR="001028D3" w:rsidRDefault="001028D3">
      <w:pPr>
        <w:rPr>
          <w:color w:val="404040" w:themeColor="text1" w:themeTint="BF"/>
        </w:rPr>
      </w:pPr>
    </w:p>
    <w:p w14:paraId="015A974D" w14:textId="358A7203" w:rsidR="001028D3" w:rsidRDefault="00424645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59EEB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85pt;width:441.4pt;height:556.6pt;z-index:251667456;mso-position-horizontal:center;mso-position-horizontal-relative:text;mso-position-vertical:absolute;mso-position-vertical-relative:text" wrapcoords="660 116 660 21309 20940 21309 20903 116 660 116">
            <v:imagedata r:id="rId8" o:title=""/>
            <w10:wrap type="tight"/>
          </v:shape>
          <o:OLEObject Type="Embed" ProgID="Visio.Drawing.15" ShapeID="_x0000_s1027" DrawAspect="Content" ObjectID="_1740569550" r:id="rId9"/>
        </w:object>
      </w:r>
    </w:p>
    <w:sectPr w:rsidR="001028D3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998C" w16cex:dateUtc="2023-02-13T17:12:00Z"/>
  <w16cex:commentExtensible w16cex:durableId="27949890" w16cex:dateUtc="2023-02-13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D55321" w16cid:durableId="2794998C"/>
  <w16cid:commentId w16cid:paraId="4C94FC43" w16cid:durableId="279498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BBDA" w14:textId="77777777" w:rsidR="00424645" w:rsidRDefault="00424645" w:rsidP="00D33C91">
      <w:pPr>
        <w:spacing w:after="0" w:line="240" w:lineRule="auto"/>
      </w:pPr>
      <w:r>
        <w:separator/>
      </w:r>
    </w:p>
  </w:endnote>
  <w:endnote w:type="continuationSeparator" w:id="0">
    <w:p w14:paraId="76F95B69" w14:textId="77777777" w:rsidR="00424645" w:rsidRDefault="00424645" w:rsidP="00D3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253BA" w14:textId="2B2B5DEA" w:rsidR="00417DD0" w:rsidRDefault="00417DD0" w:rsidP="00417DD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1B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1B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32B734" w14:textId="77777777" w:rsidR="00417DD0" w:rsidRDefault="00417DD0" w:rsidP="00417DD0">
    <w:pPr>
      <w:pStyle w:val="Piedepgina"/>
    </w:pPr>
  </w:p>
  <w:p w14:paraId="702333AE" w14:textId="3E1B4FE8" w:rsidR="00D121F9" w:rsidRDefault="00D121F9" w:rsidP="00D121F9">
    <w:pPr>
      <w:pStyle w:val="Piedepgina"/>
      <w:jc w:val="right"/>
    </w:pPr>
  </w:p>
  <w:p w14:paraId="118283DD" w14:textId="77777777" w:rsidR="00D121F9" w:rsidRDefault="00D121F9" w:rsidP="00D121F9">
    <w:pPr>
      <w:pStyle w:val="Piedepgina"/>
    </w:pPr>
  </w:p>
  <w:p w14:paraId="4B100856" w14:textId="77777777" w:rsidR="001028D3" w:rsidRDefault="00102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68C0" w14:textId="77777777" w:rsidR="00424645" w:rsidRDefault="00424645" w:rsidP="00D33C91">
      <w:pPr>
        <w:spacing w:after="0" w:line="240" w:lineRule="auto"/>
      </w:pPr>
      <w:r>
        <w:separator/>
      </w:r>
    </w:p>
  </w:footnote>
  <w:footnote w:type="continuationSeparator" w:id="0">
    <w:p w14:paraId="24E3C37F" w14:textId="77777777" w:rsidR="00424645" w:rsidRDefault="00424645" w:rsidP="00D3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4AC85F36"/>
    <w:lvl w:ilvl="0" w:tplc="480A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C60C570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3303F1"/>
    <w:multiLevelType w:val="hybridMultilevel"/>
    <w:tmpl w:val="435449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2413C"/>
    <w:multiLevelType w:val="hybridMultilevel"/>
    <w:tmpl w:val="EA28BE5A"/>
    <w:lvl w:ilvl="0" w:tplc="E928545E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3ADC"/>
    <w:multiLevelType w:val="hybridMultilevel"/>
    <w:tmpl w:val="8DCE9E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0693"/>
    <w:multiLevelType w:val="hybridMultilevel"/>
    <w:tmpl w:val="40CAE75E"/>
    <w:lvl w:ilvl="0" w:tplc="5B3098B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40A9B"/>
    <w:multiLevelType w:val="hybridMultilevel"/>
    <w:tmpl w:val="171624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5079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173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141277"/>
    <w:multiLevelType w:val="hybridMultilevel"/>
    <w:tmpl w:val="F9C46930"/>
    <w:lvl w:ilvl="0" w:tplc="D3307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8771B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723818"/>
    <w:multiLevelType w:val="singleLevel"/>
    <w:tmpl w:val="3E3AA0E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abstractNum w:abstractNumId="2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870707"/>
    <w:multiLevelType w:val="hybridMultilevel"/>
    <w:tmpl w:val="4AC85F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8B1C27"/>
    <w:multiLevelType w:val="hybridMultilevel"/>
    <w:tmpl w:val="CF56B604"/>
    <w:lvl w:ilvl="0" w:tplc="0B38E63A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25"/>
  </w:num>
  <w:num w:numId="5">
    <w:abstractNumId w:val="15"/>
  </w:num>
  <w:num w:numId="6">
    <w:abstractNumId w:val="21"/>
  </w:num>
  <w:num w:numId="7">
    <w:abstractNumId w:val="0"/>
  </w:num>
  <w:num w:numId="8">
    <w:abstractNumId w:val="18"/>
  </w:num>
  <w:num w:numId="9">
    <w:abstractNumId w:val="22"/>
  </w:num>
  <w:num w:numId="10">
    <w:abstractNumId w:val="6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17"/>
  </w:num>
  <w:num w:numId="16">
    <w:abstractNumId w:val="24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3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1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A"/>
    <w:rsid w:val="00015F62"/>
    <w:rsid w:val="00046F3F"/>
    <w:rsid w:val="00054D4D"/>
    <w:rsid w:val="00092B58"/>
    <w:rsid w:val="000A6535"/>
    <w:rsid w:val="001028D3"/>
    <w:rsid w:val="00106968"/>
    <w:rsid w:val="00107F67"/>
    <w:rsid w:val="001426DD"/>
    <w:rsid w:val="00184429"/>
    <w:rsid w:val="001A7C94"/>
    <w:rsid w:val="001B39F2"/>
    <w:rsid w:val="001F2AB9"/>
    <w:rsid w:val="001F3758"/>
    <w:rsid w:val="002327E4"/>
    <w:rsid w:val="00245E15"/>
    <w:rsid w:val="0026161D"/>
    <w:rsid w:val="0029277D"/>
    <w:rsid w:val="002B36BA"/>
    <w:rsid w:val="003236B3"/>
    <w:rsid w:val="00360E13"/>
    <w:rsid w:val="003C6C22"/>
    <w:rsid w:val="003E1F00"/>
    <w:rsid w:val="003E3072"/>
    <w:rsid w:val="003F5897"/>
    <w:rsid w:val="004028F3"/>
    <w:rsid w:val="00417DD0"/>
    <w:rsid w:val="00424645"/>
    <w:rsid w:val="00437372"/>
    <w:rsid w:val="004423EC"/>
    <w:rsid w:val="00451FC8"/>
    <w:rsid w:val="004671E9"/>
    <w:rsid w:val="004F2B3F"/>
    <w:rsid w:val="00531082"/>
    <w:rsid w:val="00540A1D"/>
    <w:rsid w:val="00543B9F"/>
    <w:rsid w:val="0054734E"/>
    <w:rsid w:val="005564CC"/>
    <w:rsid w:val="00565F69"/>
    <w:rsid w:val="00582BD1"/>
    <w:rsid w:val="00586A1E"/>
    <w:rsid w:val="005F50DE"/>
    <w:rsid w:val="00644FFA"/>
    <w:rsid w:val="0069408D"/>
    <w:rsid w:val="006B3A0C"/>
    <w:rsid w:val="0075082F"/>
    <w:rsid w:val="007B38EB"/>
    <w:rsid w:val="007D3AEA"/>
    <w:rsid w:val="007E49E2"/>
    <w:rsid w:val="00846970"/>
    <w:rsid w:val="008609BF"/>
    <w:rsid w:val="008A1389"/>
    <w:rsid w:val="008A3486"/>
    <w:rsid w:val="008A7A5F"/>
    <w:rsid w:val="00910E0E"/>
    <w:rsid w:val="0092327F"/>
    <w:rsid w:val="009326F7"/>
    <w:rsid w:val="009727A1"/>
    <w:rsid w:val="009743C5"/>
    <w:rsid w:val="00A30392"/>
    <w:rsid w:val="00A34BF3"/>
    <w:rsid w:val="00A81A8F"/>
    <w:rsid w:val="00A948CF"/>
    <w:rsid w:val="00AA3580"/>
    <w:rsid w:val="00B06DA8"/>
    <w:rsid w:val="00B16A5B"/>
    <w:rsid w:val="00B52CBA"/>
    <w:rsid w:val="00BA548A"/>
    <w:rsid w:val="00BB14DC"/>
    <w:rsid w:val="00BD1E36"/>
    <w:rsid w:val="00BD3C53"/>
    <w:rsid w:val="00C06EAD"/>
    <w:rsid w:val="00C21A51"/>
    <w:rsid w:val="00C32FDD"/>
    <w:rsid w:val="00C504F4"/>
    <w:rsid w:val="00C61CBB"/>
    <w:rsid w:val="00C7736A"/>
    <w:rsid w:val="00CD1C5F"/>
    <w:rsid w:val="00D121F9"/>
    <w:rsid w:val="00D2290D"/>
    <w:rsid w:val="00D33C91"/>
    <w:rsid w:val="00D500DD"/>
    <w:rsid w:val="00D673A7"/>
    <w:rsid w:val="00D956A6"/>
    <w:rsid w:val="00D95965"/>
    <w:rsid w:val="00DB123E"/>
    <w:rsid w:val="00DD742E"/>
    <w:rsid w:val="00DF7A14"/>
    <w:rsid w:val="00E01A1A"/>
    <w:rsid w:val="00E12BC7"/>
    <w:rsid w:val="00E81872"/>
    <w:rsid w:val="00E97AAD"/>
    <w:rsid w:val="00EB1BC2"/>
    <w:rsid w:val="00EE3B9D"/>
    <w:rsid w:val="00F517A0"/>
    <w:rsid w:val="00F9107A"/>
    <w:rsid w:val="00F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03DF8E3"/>
  <w15:docId w15:val="{838937F3-7836-440C-9AD3-5E88C58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BB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C61C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3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C91"/>
  </w:style>
  <w:style w:type="paragraph" w:styleId="Piedepgina">
    <w:name w:val="footer"/>
    <w:basedOn w:val="Normal"/>
    <w:link w:val="PiedepginaCar"/>
    <w:uiPriority w:val="99"/>
    <w:unhideWhenUsed/>
    <w:rsid w:val="00D33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C91"/>
  </w:style>
  <w:style w:type="character" w:styleId="Refdecomentario">
    <w:name w:val="annotation reference"/>
    <w:basedOn w:val="Fuentedeprrafopredeter"/>
    <w:uiPriority w:val="99"/>
    <w:semiHidden/>
    <w:unhideWhenUsed/>
    <w:rsid w:val="00A94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8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8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8C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61E4-CF3C-4DF5-B7AA-83F858C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Erwing Omar Posadas</dc:creator>
  <cp:lastModifiedBy>Gabriel Antonio Lara Hernandez</cp:lastModifiedBy>
  <cp:revision>12</cp:revision>
  <dcterms:created xsi:type="dcterms:W3CDTF">2023-02-20T16:08:00Z</dcterms:created>
  <dcterms:modified xsi:type="dcterms:W3CDTF">2023-03-17T20:46:00Z</dcterms:modified>
</cp:coreProperties>
</file>